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A7DB5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9A7DB5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r w:rsidR="008570C3" w:rsidRPr="002D2CDF">
        <w:rPr>
          <w:rFonts w:ascii="Times New Roman" w:eastAsia="Calibri" w:hAnsi="Times New Roman" w:cs="Times New Roman"/>
          <w:sz w:val="24"/>
        </w:rPr>
        <w:t>М</w:t>
      </w:r>
      <w:r w:rsidR="008570C3">
        <w:rPr>
          <w:rFonts w:ascii="Times New Roman" w:eastAsia="Calibri" w:hAnsi="Times New Roman" w:cs="Times New Roman"/>
          <w:sz w:val="24"/>
        </w:rPr>
        <w:t>К</w:t>
      </w:r>
      <w:r w:rsidR="008570C3" w:rsidRPr="002D2CDF">
        <w:rPr>
          <w:rFonts w:ascii="Times New Roman" w:eastAsia="Calibri" w:hAnsi="Times New Roman" w:cs="Times New Roman"/>
          <w:sz w:val="24"/>
        </w:rPr>
        <w:t>ОУ «</w:t>
      </w:r>
      <w:r w:rsidR="008570C3">
        <w:rPr>
          <w:rFonts w:ascii="Times New Roman" w:eastAsia="Calibri" w:hAnsi="Times New Roman" w:cs="Times New Roman"/>
          <w:sz w:val="24"/>
        </w:rPr>
        <w:t>Новогладовская ООШ</w:t>
      </w:r>
      <w:r w:rsidR="008570C3" w:rsidRPr="002D2CDF">
        <w:rPr>
          <w:rFonts w:ascii="Times New Roman" w:eastAsia="Calibri" w:hAnsi="Times New Roman" w:cs="Times New Roman"/>
          <w:sz w:val="24"/>
        </w:rPr>
        <w:t>»</w:t>
      </w: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9A7DB5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="008570C3">
        <w:rPr>
          <w:rFonts w:ascii="Times New Roman" w:eastAsia="Calibri" w:hAnsi="Times New Roman" w:cs="Times New Roman"/>
          <w:sz w:val="24"/>
          <w:szCs w:val="24"/>
        </w:rPr>
        <w:t>Магомедов Б.А.</w:t>
      </w: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9A7DB5">
        <w:rPr>
          <w:rFonts w:ascii="Times New Roman" w:eastAsia="Calibri" w:hAnsi="Times New Roman" w:cs="Times New Roman"/>
          <w:sz w:val="24"/>
          <w:szCs w:val="24"/>
        </w:rPr>
        <w:t>«___»________202</w:t>
      </w:r>
      <w:r w:rsidR="008570C3">
        <w:rPr>
          <w:rFonts w:ascii="Times New Roman" w:eastAsia="Calibri" w:hAnsi="Times New Roman" w:cs="Times New Roman"/>
          <w:sz w:val="24"/>
          <w:szCs w:val="24"/>
        </w:rPr>
        <w:t>3</w:t>
      </w:r>
      <w:r w:rsidRPr="009A7DB5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9A7DB5" w:rsidRDefault="009A7DB5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DB5" w:rsidRDefault="009A7DB5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DB5" w:rsidRDefault="009A7DB5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2D7" w:rsidRDefault="0002478F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ПОРЯДОК ОРГАНИЗАЦИИ ОХРАННЫХ МЕРОПРИЯТИЙ, ОБЕСПЕЧЕНИЯ ОБХОДА (ОСМОТРА) УЯЗВИМЫХ МЕСТ (УЧАСТКОВ), А ТАКЖЕ ПЕРИОДИЧНОСТИ ПРОВЕРОК (ОБХОДА И ОСМОТРА) ЗДАНИЙ (СТРОЕНИЙ, СООРУЖЕНИЙ), СИСТЕМ ПОДЗЕМНЫХ КОММУНИКАЦИЙ И СТОЯНОК АВТОМОБИЛЬНОГО ТРАНСПОРТА</w:t>
      </w:r>
    </w:p>
    <w:p w:rsidR="0002478F" w:rsidRDefault="0002478F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DB5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. </w:t>
      </w:r>
      <w:r w:rsidRPr="009A7DB5">
        <w:rPr>
          <w:rFonts w:ascii="Times New Roman" w:hAnsi="Times New Roman" w:cs="Times New Roman"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78F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В настоящих рекомендациях применяются следующие основные термины и определения: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объекты (территории) – комплексы технологически и технически связанных между собой зданий (строений, сооружений) и систем, имеющих общую прилегающую территорию и (или) внешние границы, отдельные здания (строения, сооружения), обособленные помещения или группы помещений, к антитеррористической защите которых нормативными правовыми актами Правительства Российской Федерации установлены самостоятельные требования; – система передачи тревожных сообщений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совокупность совместно действующих технических средств для передачи по каналам связи и приема в пункте централизованной охраны извещений о проникновении на охраняемые объекты (территории) и (или) пожаре на них, служебных и контрольнодиагностических извещений, а также для передачи и приема команд телеуправления;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критические элементы объекта – потенциально опасные элементы (участки) объекта, совершение акта незаконного вмешательства в отношении которых приведет к прекращению нормального функционирования объекта, его повреждению или к аварии на объекте;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уязвимые места – критические элементы объекта,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действия, а также элементы системы физической защиты, преодолевая которые, нарушитель может успешно реализовать свои цели;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техническое задание на оказание охранных услуг – документ, разработанный заказчиком охранных услуг, в котором изложены основные условия и требования к системе охраны объекта, его параметры и эксплуатационные характеристики;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– пост охраны – территория либо часть территории охраняемого объекта, включая охранную зону и зону оперативного внимания, располагающуюся внутри периметра забора, ограждения двора объекта (территории), а также прилегающая к периметру территория, на которой могут возникнуть угрозы; – стационарный пост охраны (рабочее место охранника) – основная рабочая зона (локальная часть поста охраны), где сотрудник охранной организации объекта (территории) (работник организации, обеспечивающий охрану объекта (территории)) исполняет большую часть своей трудовой функции (технический мониторинг уровня угроз и осуществление пропускного режима), где могут быть расположены индикаторы технических средств охраны и постовая документация.</w:t>
      </w:r>
    </w:p>
    <w:p w:rsidR="009A7DB5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. Основными задачами охраны объекта (территории) являются: </w:t>
      </w:r>
    </w:p>
    <w:p w:rsidR="009A7DB5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воспрепятствование неправомерному проникновению на объекты (территории); </w:t>
      </w:r>
    </w:p>
    <w:p w:rsidR="009A7DB5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на выявление </w:t>
      </w:r>
      <w:r w:rsidR="009A7DB5" w:rsidRPr="0002478F">
        <w:rPr>
          <w:rFonts w:ascii="Times New Roman" w:hAnsi="Times New Roman" w:cs="Times New Roman"/>
          <w:sz w:val="24"/>
          <w:szCs w:val="24"/>
        </w:rPr>
        <w:t>нарушителей,</w:t>
      </w:r>
      <w:r w:rsidRPr="0002478F">
        <w:rPr>
          <w:rFonts w:ascii="Times New Roman" w:hAnsi="Times New Roman" w:cs="Times New Roman"/>
          <w:sz w:val="24"/>
          <w:szCs w:val="24"/>
        </w:rPr>
        <w:t xml:space="preserve"> установленных на объектах (территориях) пропускного и внутриобъектового режимов и (или) признаков подготовки или совершения террористического акта; </w:t>
      </w:r>
    </w:p>
    <w:p w:rsidR="009A7DB5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lastRenderedPageBreak/>
        <w:t xml:space="preserve">– пресечение попыток совершения террористических актов на объектах (территориях);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 </w:t>
      </w:r>
    </w:p>
    <w:p w:rsidR="0002478F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. Выявление потенциальных нарушителей, установленных на объектах (территориях) пропускного и внутриобъектового режимов и (или) признаков подготовки или совершения террористического акта обеспечивается путем: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неукоснительного соблюдения на объектах (территориях) пропускного и внутриобъектового режимов;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периодической проверки зданий (строений, сооружений), а также уязвимых мест и критических элементов объектов (территорий), систем подземных коммуникаций, стоянок автомобильного транспорта; – принятия к нарушителям пропускного и внутриобъектового режимов мер ответственности, предусмотренных законодательством Российской Федерации;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исключения бесконтрольного пребывания на объектах (территориях) посторонних лиц и нахождения транспортных средств;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поддержания в исправном состоянии инженерно-технических средств и систем охраны, оснащения бесперебойной и устойчивой связью объектов (территорий);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сбора, обобщения и анализа выявленных фактов скрытого наблюдения, фото- и видеосъемки объектов (территорий)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 вблизи объектов (территорий) вещей и транспортных средств;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контроля за состоянием систем подземных коммуникаций, стоянок транспорта, складских помещений;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своевременного информирования правоохранительных органов о ставших известными фактах незаконного приобретения лицами, посещающими объект (территорию), оружия, его конструктивных элементов, боеприпасов, деталей для изготовления самодельных взрывных устройств.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 Обеспечение охраны объекта (территории)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2.1. Система охраны объекта (территории) включает в себя совокупность сил и средств для выполнения задач по охране объекта (территории).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2.2. На объектах (территориях) охранные мероприятия рекомендуется организовывать в зависимости от степени угрозы совершения на них террористических актов и возможных последствий их совершения.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2.3. В целях обеспечения антитеррористической защищенности объектов (территорий) вне зависимости категории опасности осуществляются: – пропускной и внутриобъектовый режимы, а также контроль за их функционированием; – периодический обход и осмотр объектов (территорий), их помещений, систем подземных коммуникаций, стоянок транспорта, а также периодическая проверка складских помещений; – 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2.4. Пресечение попыток совершения террористических актов на объектах (территориях) достигается посредством: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организации и обеспечения пропускного и внутриобъектового режимов на объектах (территориях);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своевременного выявления фактов 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предметов, веществ на объекты (территории);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организации санкционированного допуска на объекты (территории) посетителей и автотранспортных средств;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поддержания в исправном состоянии инженерно-технических средств и систем охраны, обеспечения бесперебойной и устойчивой связи на объектах (территориях);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lastRenderedPageBreak/>
        <w:t xml:space="preserve">– исключения фактов бесконтрольного пребывания на объектах (территориях) посторонних лиц и нахождения транспортных средств на объектах (территориях) или в непосредственной близости от них;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организации круглосуточных охранных мероприятий, обеспечения ежедневного обхода и осмотра уязвимых мест и участков объектов (территорий), а также периодической проверки (обхода и осмотра) зданий (строений, сооружений) и территории со складскими и подсобными помещениями;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осуществления контроля за состоянием помещений, используемых для проведения мероприятий с массовым пребыванием людей. </w:t>
      </w:r>
    </w:p>
    <w:p w:rsidR="0002478F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Ответственность за обеспечение антитеррористической защищенности объектов (территорий) возлагается на руководителей объектов (территорий), а также исполнительные органы государственной власти, органы местного самоуправления, реализующие функции учредителя организаций, использующих объекты (территории).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2.6. Все объекты (территории) вне зависимости категории опасности оснащаются системами передачи тревожных сообщений в подразделения вневедомственной охраны войск национальной гвардии Российской Федерации(далее – Росгвардия) или в систему обеспечения вызова экстренных оперативных служб по единому номеру «112» (далее – Служба 112).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2.7. Охрана объектов (территорий) осуществляется сотрудниками частных охранных организаций, подразделениями вневедомственной охраны Росгвардии, или подразделениями ведомственной охраны федеральных органов исполнительной власти, имеющих право на создание ведомственной охраны (далее – подразделения охраны), на основании договоров (контрактов) на оказание охранных услуг с организацией и технических заданий на оказание охранных услуг.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2.8. Решение о привлечении подразделений охраны для обеспечения антитеррористической защищенности объекта (территории) принимается должностным лицом, осуществляющим непосредственное руководство деятельностью работников на объекте (территории), с учетом ограничений, установленных законодательством Российской Федерации, регулирующим частную охранную деятельность и ведомственную охрану. В договоре (контракте) на оказание охранных услуг надлежит указывать основания и условия для введения режимов усиления охраны, а также должностных лиц, уполномоченных принимать решение на их введение.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2.9. Подразделения охраны несут ответственность согласно договору на охрану и функциональным обязанностям.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2.10. Обязанности сотрудника, осуществляющего охрану объекта (территории) (далее – охранник) определяются его должностной (служебной) инструкцией и положением об организации пропускного и внутриобъектового режимов.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2.11. На посту охраны должны быть: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телефонный аппарат, средство тревожных сообщений, средства мобильной связи; – инструкция о правилах пользования средством тревожной сигнализации;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номера телефонов Службы 112, территориального подразделения Управления Федеральной службы безопасности Российской Федерации по Свердловской области (далее – УФСБ), территориального органа Министерства внутренних дел Российской Федерации (далее – МВД России) и подразделения вневедомственной охраны Росгвардии, администрации организации, а также иных заинтересованных подразделений;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должностная инструкция охранника;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инструкция (памятка) по действиям должностных лиц и работников при совершении либо угрозе совершения террористического акта;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журналы обхода территории, регистрации посетителей, автотранспорта, выдачи ключей и приема помещений под охрану, приема и сдачи дежурства и контроля за несением службы;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планы проводимых практических занятий, тренировок и учений;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графики дежурств ответственных лиц в праздничные и выходные дни.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2.12. Порядок организации круглосуточных охранных мероприятий, обеспечения ежедневного обхода (осмотра) уязвимых мест (участков), а такжепериодичности проверок (обхода и осмотра) зданий (строений, сооружений), систем подземных коммуникаций и стоянок </w:t>
      </w:r>
      <w:r w:rsidRPr="0002478F">
        <w:rPr>
          <w:rFonts w:ascii="Times New Roman" w:hAnsi="Times New Roman" w:cs="Times New Roman"/>
          <w:sz w:val="24"/>
          <w:szCs w:val="24"/>
        </w:rPr>
        <w:lastRenderedPageBreak/>
        <w:t xml:space="preserve">автомобильного транспорта определяется и утверждается организационно-распорядительным документом организации – правообладателя объекта (территории) или правовым актом исполнительного органа государственной власти или органа местного самоуправления, реализующего функции учредителя организаций, использующих объекты (территории).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2.13. Круглосуточные охранные мероприятия осуществляются с использованием систем видеонаблюдения и передачи тревожных сообщений.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2.14. При осуществлении круглосуточных охранных мероприятий охранник должен знать: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должностную инструкцию;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особенности охраняемого объекта и прилегающей к нему территории, расположение и порядок работы охранно-пожарной и тревожной сигнализации, средств связи, пожаротушения, правила их использования и обслуживания;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общие условия и меры по обеспечению безопасности объекта (территории), его уязвимые места;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порядок взаимодействия с территориальным подразделением УФСБ, территориальным органом МВД России и подразделением вневедомственной охраны Росгвардии;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правила внутреннего распорядка организации, а также правила осмотра ручной клади и автотранспорта.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2.15. Охраннику необходимо: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перед заступлением на пост осуществлять обход (принимать участие в обходе, проводимом администрацией) объекта (уязвимых мест, участков, зданий, строений, сооружений), о чем делать запись в журнале обхода территории;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проверять наличие и исправность оборудования (согласно описи) и отсутствие повреждений на окнах и дверях;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проверять исправность работы средств связи, наличие средств пожаротушения и документации поста. О выявленных недостатках и нарушениях делать соответствующую запись в журнале приема-сдачи дежурства;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осуществлять пропускной режим на объекте (территории) в соответствии с утвержденным Положением; – обеспечивать контроль за складывающейся обстановкой на территории объекта;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выявлять правонарушителей и пресекать их действия в пределах установленной компетенции, в том числе путем подачи сигнала тревоги на пульт централизованной охраны;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проводить обход (осмотр) объекта (территории) согласно установленному графику обходов, но не мене 3 раз в день: перед началом производственного (учебного) процесса и после его окончания, о чем делать соответствующие записи в журнале обхода (осмотра) объекта (территории);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проводить обход (осмотр) уязвимых мест (участков), а также зданий (строений, сооружений), систем подземных коммуникаций и стоянокавтомобильного транспорта (в случае их наличия) в дневное время не менее 2 раз, а в ночное время не менее 3 раз с фиксацией результатов обхода (осмотра) в специальном журнале, форма которого заблаговременно утверждается организационно-распорядительным документом или правовым актом.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2.16. Вне зависимости от категории опасности объекта (территории) образования ответственным лицам рекомендуется проводить обход (осмотр) уязвимых мест (участков), а также зданий (строений, сооружений), систем подземных коммуникаций и стоянок автомобильного транспорта в дневное время каждые 3 часа, а в ночное время каждые 2 часа с фиксацией результатов обхода (осмотра) в специальном журнале, форма которого заблаговременно утверждается организационно-распорядительным документом или правовым актом.</w:t>
      </w:r>
    </w:p>
    <w:p w:rsidR="0002478F" w:rsidRP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2478F" w:rsidRPr="0002478F" w:rsidSect="0002478F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5EC" w:rsidRDefault="003165EC" w:rsidP="0002478F">
      <w:pPr>
        <w:spacing w:after="0" w:line="240" w:lineRule="auto"/>
      </w:pPr>
      <w:r>
        <w:separator/>
      </w:r>
    </w:p>
  </w:endnote>
  <w:endnote w:type="continuationSeparator" w:id="1">
    <w:p w:rsidR="003165EC" w:rsidRDefault="003165EC" w:rsidP="0002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5EC" w:rsidRDefault="003165EC" w:rsidP="0002478F">
      <w:pPr>
        <w:spacing w:after="0" w:line="240" w:lineRule="auto"/>
      </w:pPr>
      <w:r>
        <w:separator/>
      </w:r>
    </w:p>
  </w:footnote>
  <w:footnote w:type="continuationSeparator" w:id="1">
    <w:p w:rsidR="003165EC" w:rsidRDefault="003165EC" w:rsidP="0002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2263994"/>
      <w:docPartObj>
        <w:docPartGallery w:val="Page Numbers (Top of Page)"/>
        <w:docPartUnique/>
      </w:docPartObj>
    </w:sdtPr>
    <w:sdtContent>
      <w:p w:rsidR="0002478F" w:rsidRDefault="00152DF3">
        <w:pPr>
          <w:pStyle w:val="a3"/>
          <w:jc w:val="center"/>
        </w:pPr>
        <w:r>
          <w:fldChar w:fldCharType="begin"/>
        </w:r>
        <w:r w:rsidR="0002478F">
          <w:instrText>PAGE   \* MERGEFORMAT</w:instrText>
        </w:r>
        <w:r>
          <w:fldChar w:fldCharType="separate"/>
        </w:r>
        <w:r w:rsidR="008570C3">
          <w:rPr>
            <w:noProof/>
          </w:rPr>
          <w:t>2</w:t>
        </w:r>
        <w:r>
          <w:fldChar w:fldCharType="end"/>
        </w:r>
      </w:p>
    </w:sdtContent>
  </w:sdt>
  <w:p w:rsidR="0002478F" w:rsidRDefault="0002478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78F"/>
    <w:rsid w:val="0002478F"/>
    <w:rsid w:val="00152DF3"/>
    <w:rsid w:val="00304724"/>
    <w:rsid w:val="003165EC"/>
    <w:rsid w:val="004B42FF"/>
    <w:rsid w:val="006342D7"/>
    <w:rsid w:val="008570C3"/>
    <w:rsid w:val="009360D9"/>
    <w:rsid w:val="009A7DB5"/>
    <w:rsid w:val="00AE6DB5"/>
    <w:rsid w:val="00DA7821"/>
    <w:rsid w:val="00E65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78F"/>
  </w:style>
  <w:style w:type="paragraph" w:styleId="a5">
    <w:name w:val="footer"/>
    <w:basedOn w:val="a"/>
    <w:link w:val="a6"/>
    <w:uiPriority w:val="99"/>
    <w:unhideWhenUsed/>
    <w:rsid w:val="00024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78F"/>
  </w:style>
  <w:style w:type="paragraph" w:styleId="a5">
    <w:name w:val="footer"/>
    <w:basedOn w:val="a"/>
    <w:link w:val="a6"/>
    <w:uiPriority w:val="99"/>
    <w:unhideWhenUsed/>
    <w:rsid w:val="00024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7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Антитеррор_1</dc:creator>
  <cp:lastModifiedBy>User280922</cp:lastModifiedBy>
  <cp:revision>2</cp:revision>
  <dcterms:created xsi:type="dcterms:W3CDTF">2023-12-28T06:24:00Z</dcterms:created>
  <dcterms:modified xsi:type="dcterms:W3CDTF">2023-12-28T06:24:00Z</dcterms:modified>
</cp:coreProperties>
</file>